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91B" w:rsidRPr="0021391B" w:rsidRDefault="0021391B" w:rsidP="0021391B">
      <w:pPr>
        <w:pStyle w:val="StandardWeb"/>
        <w:jc w:val="both"/>
        <w:rPr>
          <w:rFonts w:asciiTheme="minorHAnsi" w:hAnsiTheme="minorHAnsi" w:cstheme="minorHAnsi"/>
          <w:b/>
          <w:sz w:val="28"/>
        </w:rPr>
      </w:pPr>
      <w:bookmarkStart w:id="0" w:name="_GoBack"/>
      <w:bookmarkEnd w:id="0"/>
      <w:r w:rsidRPr="0021391B">
        <w:rPr>
          <w:rFonts w:asciiTheme="minorHAnsi" w:hAnsiTheme="minorHAnsi" w:cstheme="minorHAnsi"/>
          <w:b/>
          <w:sz w:val="28"/>
        </w:rPr>
        <w:t xml:space="preserve">Komplexe Lernaufgaben mit </w:t>
      </w:r>
      <w:proofErr w:type="spellStart"/>
      <w:r w:rsidRPr="0021391B">
        <w:rPr>
          <w:rFonts w:asciiTheme="minorHAnsi" w:hAnsiTheme="minorHAnsi" w:cstheme="minorHAnsi"/>
          <w:b/>
          <w:i/>
          <w:sz w:val="28"/>
        </w:rPr>
        <w:t>Scaffolding</w:t>
      </w:r>
      <w:proofErr w:type="spellEnd"/>
      <w:r w:rsidRPr="0021391B">
        <w:rPr>
          <w:rFonts w:asciiTheme="minorHAnsi" w:hAnsiTheme="minorHAnsi" w:cstheme="minorHAnsi"/>
          <w:b/>
          <w:sz w:val="28"/>
        </w:rPr>
        <w:t xml:space="preserve"> (Unterstützungsangeboten)</w:t>
      </w:r>
    </w:p>
    <w:p w:rsidR="007C7E9A" w:rsidRDefault="007C7E9A" w:rsidP="0021391B">
      <w:pPr>
        <w:pStyle w:val="StandardWeb"/>
        <w:jc w:val="both"/>
        <w:rPr>
          <w:rFonts w:asciiTheme="minorHAnsi" w:hAnsiTheme="minorHAnsi" w:cstheme="minorHAnsi"/>
        </w:rPr>
      </w:pPr>
      <w:r>
        <w:rPr>
          <w:rFonts w:asciiTheme="minorHAnsi" w:hAnsiTheme="minorHAnsi" w:cstheme="minorHAnsi"/>
        </w:rPr>
        <w:t>Der Unterricht in Deutschland fokussiert durchgängig eher auf Leistungssituationen und weniger auf Lernsituationen. Es wird zu wenig zwischen Lern- und Leistungssituationen unterschieden; beides wird ständig miteinander vermischt. Das hat für den Lernprozess unheilvolle Auswirkungen, weil beide unterschiedlichen psychologischen Gesetzmäßigkeiten unterliegen:</w:t>
      </w:r>
    </w:p>
    <w:p w:rsidR="007C7E9A" w:rsidRDefault="007C7E9A" w:rsidP="007C7E9A">
      <w:pPr>
        <w:pStyle w:val="StandardWeb"/>
        <w:numPr>
          <w:ilvl w:val="0"/>
          <w:numId w:val="3"/>
        </w:numPr>
        <w:jc w:val="both"/>
        <w:rPr>
          <w:rFonts w:asciiTheme="minorHAnsi" w:hAnsiTheme="minorHAnsi" w:cstheme="minorHAnsi"/>
        </w:rPr>
      </w:pPr>
      <w:r>
        <w:rPr>
          <w:rFonts w:asciiTheme="minorHAnsi" w:hAnsiTheme="minorHAnsi" w:cstheme="minorHAnsi"/>
        </w:rPr>
        <w:t>Wer sich in einer Lernsituation wähnt, will Neues lernen, Lücken schließen, etwas verstehen.</w:t>
      </w:r>
    </w:p>
    <w:p w:rsidR="007C7E9A" w:rsidRDefault="007C7E9A" w:rsidP="007C7E9A">
      <w:pPr>
        <w:pStyle w:val="StandardWeb"/>
        <w:numPr>
          <w:ilvl w:val="0"/>
          <w:numId w:val="3"/>
        </w:numPr>
        <w:jc w:val="both"/>
        <w:rPr>
          <w:rFonts w:asciiTheme="minorHAnsi" w:hAnsiTheme="minorHAnsi" w:cstheme="minorHAnsi"/>
        </w:rPr>
      </w:pPr>
      <w:r>
        <w:rPr>
          <w:rFonts w:asciiTheme="minorHAnsi" w:hAnsiTheme="minorHAnsi" w:cstheme="minorHAnsi"/>
        </w:rPr>
        <w:t>Wer sich in einer Leistungssituation sieht, will Erfolge erzielen und Misserfolge vermeiden.</w:t>
      </w:r>
    </w:p>
    <w:p w:rsidR="007C7E9A" w:rsidRDefault="007C7E9A" w:rsidP="007C7E9A">
      <w:pPr>
        <w:pStyle w:val="StandardWeb"/>
        <w:jc w:val="both"/>
        <w:rPr>
          <w:rFonts w:asciiTheme="minorHAnsi" w:hAnsiTheme="minorHAnsi" w:cstheme="minorHAnsi"/>
        </w:rPr>
      </w:pPr>
      <w:r>
        <w:rPr>
          <w:rFonts w:asciiTheme="minorHAnsi" w:hAnsiTheme="minorHAnsi" w:cstheme="minorHAnsi"/>
        </w:rPr>
        <w:t xml:space="preserve">Lernaufgaben bringen Schülerinnen  und Schüler in Lernsituationen, nicht in Leistungssituationen. </w:t>
      </w:r>
    </w:p>
    <w:p w:rsidR="00443332" w:rsidRDefault="00443332" w:rsidP="0021391B">
      <w:pPr>
        <w:pStyle w:val="StandardWeb"/>
        <w:jc w:val="both"/>
        <w:rPr>
          <w:rFonts w:asciiTheme="minorHAnsi" w:hAnsiTheme="minorHAnsi" w:cstheme="minorHAnsi"/>
        </w:rPr>
      </w:pPr>
      <w:r>
        <w:rPr>
          <w:rFonts w:asciiTheme="minorHAnsi" w:hAnsiTheme="minorHAnsi" w:cstheme="minorHAnsi"/>
        </w:rPr>
        <w:t xml:space="preserve">„Lehrer lehren, Lerner lernen.“ Dieser einfache Satz weist jedem seine Aufgabe zu. Lernaufgaben gehören damit in die Hand der Lerner. Sie dienen </w:t>
      </w:r>
      <w:r w:rsidR="007C7E9A">
        <w:rPr>
          <w:rFonts w:asciiTheme="minorHAnsi" w:hAnsiTheme="minorHAnsi" w:cstheme="minorHAnsi"/>
        </w:rPr>
        <w:t>dem Lernen, die Lerne</w:t>
      </w:r>
      <w:r>
        <w:rPr>
          <w:rFonts w:asciiTheme="minorHAnsi" w:hAnsiTheme="minorHAnsi" w:cstheme="minorHAnsi"/>
        </w:rPr>
        <w:t xml:space="preserve">r lernen, indem sie sich im besten Sinne daran „abarbeiten“. </w:t>
      </w:r>
    </w:p>
    <w:p w:rsidR="007C7E9A" w:rsidRDefault="007C7E9A" w:rsidP="0021391B">
      <w:pPr>
        <w:pStyle w:val="StandardWeb"/>
        <w:jc w:val="both"/>
        <w:rPr>
          <w:rFonts w:asciiTheme="minorHAnsi" w:hAnsiTheme="minorHAnsi" w:cstheme="minorHAnsi"/>
        </w:rPr>
      </w:pPr>
      <w:r>
        <w:rPr>
          <w:rFonts w:asciiTheme="minorHAnsi" w:hAnsiTheme="minorHAnsi" w:cstheme="minorHAnsi"/>
        </w:rPr>
        <w:t>Lehrkräfte unterliegen oft dem Lehr-Lern-Kurzschluss. Was gelehrt wird, wird auch gelernt Dabei fokussiert man sich zu sehr auf die Lehrprozesse im Sinne von Unterrichtsphasen (Problemstellung – Erarbeitung – Problemlösung – Übung) und deren Abfolge. Es stellt sich jedoch als günstiger heraus, die Lernprozesse in den Blick zu nehmen und die Lehrleistungen auf die Steuerungsleistungen der Lernprozesse zu reduziere. Mit anderen Worten: Die Aufgabe der Lehrkraft besteht in der Gestaltung der Lernumgebung und den Steuerungen des Lernprozesses durch</w:t>
      </w:r>
    </w:p>
    <w:p w:rsidR="007C7E9A" w:rsidRDefault="007C7E9A" w:rsidP="007C7E9A">
      <w:pPr>
        <w:pStyle w:val="StandardWeb"/>
        <w:numPr>
          <w:ilvl w:val="0"/>
          <w:numId w:val="2"/>
        </w:numPr>
        <w:jc w:val="both"/>
        <w:rPr>
          <w:rFonts w:asciiTheme="minorHAnsi" w:hAnsiTheme="minorHAnsi" w:cstheme="minorHAnsi"/>
        </w:rPr>
      </w:pPr>
      <w:r>
        <w:rPr>
          <w:rFonts w:asciiTheme="minorHAnsi" w:hAnsiTheme="minorHAnsi" w:cstheme="minorHAnsi"/>
        </w:rPr>
        <w:t>Aufgabenstellungen</w:t>
      </w:r>
    </w:p>
    <w:p w:rsidR="007C7E9A" w:rsidRDefault="007C7E9A" w:rsidP="007C7E9A">
      <w:pPr>
        <w:pStyle w:val="StandardWeb"/>
        <w:numPr>
          <w:ilvl w:val="0"/>
          <w:numId w:val="2"/>
        </w:numPr>
        <w:jc w:val="both"/>
        <w:rPr>
          <w:rFonts w:asciiTheme="minorHAnsi" w:hAnsiTheme="minorHAnsi" w:cstheme="minorHAnsi"/>
        </w:rPr>
      </w:pPr>
      <w:r>
        <w:rPr>
          <w:rFonts w:asciiTheme="minorHAnsi" w:hAnsiTheme="minorHAnsi" w:cstheme="minorHAnsi"/>
        </w:rPr>
        <w:t>Lernmaterialien und Methoden-Werkzeuge</w:t>
      </w:r>
    </w:p>
    <w:p w:rsidR="007C7E9A" w:rsidRDefault="007C7E9A" w:rsidP="007C7E9A">
      <w:pPr>
        <w:pStyle w:val="StandardWeb"/>
        <w:numPr>
          <w:ilvl w:val="0"/>
          <w:numId w:val="2"/>
        </w:numPr>
        <w:jc w:val="both"/>
        <w:rPr>
          <w:rFonts w:asciiTheme="minorHAnsi" w:hAnsiTheme="minorHAnsi" w:cstheme="minorHAnsi"/>
        </w:rPr>
      </w:pPr>
      <w:r>
        <w:rPr>
          <w:rFonts w:asciiTheme="minorHAnsi" w:hAnsiTheme="minorHAnsi" w:cstheme="minorHAnsi"/>
        </w:rPr>
        <w:t>Gesprächsführung und Moderation</w:t>
      </w:r>
    </w:p>
    <w:p w:rsidR="007C7E9A" w:rsidRDefault="007C7E9A" w:rsidP="007C7E9A">
      <w:pPr>
        <w:pStyle w:val="StandardWeb"/>
        <w:numPr>
          <w:ilvl w:val="0"/>
          <w:numId w:val="2"/>
        </w:numPr>
        <w:jc w:val="both"/>
        <w:rPr>
          <w:rFonts w:asciiTheme="minorHAnsi" w:hAnsiTheme="minorHAnsi" w:cstheme="minorHAnsi"/>
        </w:rPr>
      </w:pPr>
      <w:r>
        <w:rPr>
          <w:rFonts w:asciiTheme="minorHAnsi" w:hAnsiTheme="minorHAnsi" w:cstheme="minorHAnsi"/>
        </w:rPr>
        <w:t>Diagnose/Rückmeldung (Feedback) und Reflexion</w:t>
      </w:r>
    </w:p>
    <w:p w:rsidR="007C7E9A" w:rsidRDefault="007C7E9A" w:rsidP="007C7E9A">
      <w:pPr>
        <w:pStyle w:val="StandardWeb"/>
        <w:jc w:val="both"/>
        <w:rPr>
          <w:rFonts w:asciiTheme="minorHAnsi" w:hAnsiTheme="minorHAnsi" w:cstheme="minorHAnsi"/>
        </w:rPr>
      </w:pPr>
      <w:r>
        <w:rPr>
          <w:rFonts w:asciiTheme="minorHAnsi" w:hAnsiTheme="minorHAnsi" w:cstheme="minorHAnsi"/>
        </w:rPr>
        <w:t xml:space="preserve">Im Konzept der Lernaufgaben wird demnach strikt zwischen den Aufgabenbereichen der Lehrenden und Lernenden unterschieden. Lehrer konstruieren Lernaufgaben, Lerner lernen daran. In der Lernaufgabe wird die Steuerung des Lernprozesses an die Lernaufgabe abgegeben. Die Lehrkraft steuert indirekt in der Planung und der Aufbereitung der Lernaufgabe. Im Unterricht selbst tritt die Lehrkraft zurück und überlässt die Steuerung des Lernprozesses der Lernaufgabe. </w:t>
      </w:r>
    </w:p>
    <w:p w:rsidR="00443332" w:rsidRDefault="00443332" w:rsidP="0021391B">
      <w:pPr>
        <w:pStyle w:val="StandardWeb"/>
        <w:jc w:val="both"/>
        <w:rPr>
          <w:rFonts w:asciiTheme="minorHAnsi" w:hAnsiTheme="minorHAnsi" w:cstheme="minorHAnsi"/>
        </w:rPr>
      </w:pPr>
      <w:r>
        <w:rPr>
          <w:rFonts w:asciiTheme="minorHAnsi" w:hAnsiTheme="minorHAnsi" w:cstheme="minorHAnsi"/>
        </w:rPr>
        <w:t xml:space="preserve">Lernaufgaben </w:t>
      </w:r>
      <w:r w:rsidR="006E423D">
        <w:rPr>
          <w:rFonts w:asciiTheme="minorHAnsi" w:hAnsiTheme="minorHAnsi" w:cstheme="minorHAnsi"/>
        </w:rPr>
        <w:t xml:space="preserve">steuern den individuellen Lernprozess durch eine Folge von gestuften Aufgabenstellungen mit entsprechenden Lernmaterialien so, dass die Lerner möglichst eigentätig die Problemstellung entdecken, Vorstellungen entwickeln und Informationen auswerten. Dabei erstellen und diskutieren sie ein Lernprodukt, definieren und reflektieren den Lernzugewinn und üben sich abschließend im handelnden Umgang mit Wissen. </w:t>
      </w:r>
    </w:p>
    <w:p w:rsidR="006E423D" w:rsidRDefault="006E423D" w:rsidP="0021391B">
      <w:pPr>
        <w:pStyle w:val="StandardWeb"/>
        <w:jc w:val="both"/>
        <w:rPr>
          <w:rFonts w:asciiTheme="minorHAnsi" w:hAnsiTheme="minorHAnsi" w:cstheme="minorHAnsi"/>
        </w:rPr>
      </w:pPr>
    </w:p>
    <w:p w:rsidR="006E423D" w:rsidRDefault="006E423D" w:rsidP="0021391B">
      <w:pPr>
        <w:pStyle w:val="StandardWeb"/>
        <w:jc w:val="both"/>
        <w:rPr>
          <w:rFonts w:asciiTheme="minorHAnsi" w:hAnsiTheme="minorHAnsi" w:cstheme="minorHAnsi"/>
        </w:rPr>
      </w:pPr>
    </w:p>
    <w:p w:rsidR="006E423D" w:rsidRDefault="006E423D" w:rsidP="0021391B">
      <w:pPr>
        <w:pStyle w:val="StandardWeb"/>
        <w:jc w:val="both"/>
        <w:rPr>
          <w:rFonts w:asciiTheme="minorHAnsi" w:hAnsiTheme="minorHAnsi" w:cstheme="minorHAnsi"/>
        </w:rPr>
      </w:pPr>
      <w:r>
        <w:rPr>
          <w:rFonts w:asciiTheme="minorHAnsi" w:hAnsiTheme="minorHAnsi" w:cstheme="minorHAnsi"/>
        </w:rPr>
        <w:lastRenderedPageBreak/>
        <w:t>Und hier noch einmal als Kurzfassung:</w:t>
      </w:r>
    </w:p>
    <w:p w:rsidR="006E423D" w:rsidRDefault="006E423D" w:rsidP="0021391B">
      <w:pPr>
        <w:pStyle w:val="StandardWeb"/>
        <w:jc w:val="both"/>
        <w:rPr>
          <w:rFonts w:asciiTheme="minorHAnsi" w:hAnsiTheme="minorHAnsi" w:cstheme="minorHAnsi"/>
        </w:rPr>
      </w:pPr>
      <w:r>
        <w:rPr>
          <w:rFonts w:asciiTheme="minorHAnsi" w:hAnsiTheme="minorHAnsi" w:cstheme="minorHAnsi"/>
        </w:rPr>
        <w:t>Eine komplexe Lernaufgabe ist eine Lernumgebung zur Kompetenzentwicklung und steuert den Lernprozess durch eine Folge von gestuften Aufgabenstellungen mit entsprechenden Lernmaterialien.</w:t>
      </w:r>
    </w:p>
    <w:p w:rsidR="0021391B" w:rsidRDefault="006E423D" w:rsidP="0021391B">
      <w:pPr>
        <w:pStyle w:val="StandardWeb"/>
        <w:jc w:val="both"/>
        <w:rPr>
          <w:rFonts w:asciiTheme="minorHAnsi" w:hAnsiTheme="minorHAnsi" w:cstheme="minorHAnsi"/>
        </w:rPr>
      </w:pPr>
      <w:r>
        <w:rPr>
          <w:rFonts w:asciiTheme="minorHAnsi" w:hAnsiTheme="minorHAnsi" w:cstheme="minorHAnsi"/>
        </w:rPr>
        <w:t xml:space="preserve">Die </w:t>
      </w:r>
      <w:proofErr w:type="spellStart"/>
      <w:r w:rsidR="0021391B" w:rsidRPr="0021391B">
        <w:rPr>
          <w:rFonts w:asciiTheme="minorHAnsi" w:hAnsiTheme="minorHAnsi" w:cstheme="minorHAnsi"/>
          <w:i/>
        </w:rPr>
        <w:t>Scaffolds</w:t>
      </w:r>
      <w:proofErr w:type="spellEnd"/>
      <w:r w:rsidR="0021391B">
        <w:rPr>
          <w:rFonts w:asciiTheme="minorHAnsi" w:hAnsiTheme="minorHAnsi" w:cstheme="minorHAnsi"/>
        </w:rPr>
        <w:t xml:space="preserve"> (Unterstützungsangebote, gestaffelte Hilfen) </w:t>
      </w:r>
      <w:r>
        <w:rPr>
          <w:rFonts w:asciiTheme="minorHAnsi" w:hAnsiTheme="minorHAnsi" w:cstheme="minorHAnsi"/>
        </w:rPr>
        <w:t>eröffnen</w:t>
      </w:r>
      <w:r w:rsidR="0021391B">
        <w:rPr>
          <w:rFonts w:asciiTheme="minorHAnsi" w:hAnsiTheme="minorHAnsi" w:cstheme="minorHAnsi"/>
        </w:rPr>
        <w:t xml:space="preserve"> den Lernenden nach Niveau differenzierte Zugänge </w:t>
      </w:r>
      <w:r>
        <w:rPr>
          <w:rFonts w:asciiTheme="minorHAnsi" w:hAnsiTheme="minorHAnsi" w:cstheme="minorHAnsi"/>
        </w:rPr>
        <w:t>zu einer Aufgabe</w:t>
      </w:r>
      <w:r w:rsidR="0021391B">
        <w:rPr>
          <w:rFonts w:asciiTheme="minorHAnsi" w:hAnsiTheme="minorHAnsi" w:cstheme="minorHAnsi"/>
        </w:rPr>
        <w:t>.</w:t>
      </w:r>
      <w:r w:rsidR="0021391B" w:rsidRPr="0021391B">
        <w:rPr>
          <w:rFonts w:asciiTheme="minorHAnsi" w:hAnsiTheme="minorHAnsi" w:cstheme="minorHAnsi"/>
        </w:rPr>
        <w:t xml:space="preserve"> </w:t>
      </w:r>
      <w:r w:rsidR="0021391B">
        <w:rPr>
          <w:rFonts w:asciiTheme="minorHAnsi" w:hAnsiTheme="minorHAnsi" w:cstheme="minorHAnsi"/>
        </w:rPr>
        <w:t xml:space="preserve">Die </w:t>
      </w:r>
      <w:proofErr w:type="spellStart"/>
      <w:r w:rsidR="0021391B" w:rsidRPr="0021391B">
        <w:rPr>
          <w:rFonts w:asciiTheme="minorHAnsi" w:hAnsiTheme="minorHAnsi" w:cstheme="minorHAnsi"/>
          <w:i/>
        </w:rPr>
        <w:t>Scaffolds</w:t>
      </w:r>
      <w:proofErr w:type="spellEnd"/>
      <w:r w:rsidR="0021391B">
        <w:rPr>
          <w:rFonts w:asciiTheme="minorHAnsi" w:hAnsiTheme="minorHAnsi" w:cstheme="minorHAnsi"/>
        </w:rPr>
        <w:t xml:space="preserve"> </w:t>
      </w:r>
      <w:r w:rsidR="0021391B" w:rsidRPr="0021391B">
        <w:rPr>
          <w:rFonts w:asciiTheme="minorHAnsi" w:hAnsiTheme="minorHAnsi" w:cstheme="minorHAnsi"/>
        </w:rPr>
        <w:t>sollen keine Schülerin/keinen Schüler ausschließen, sollen deshalb nic</w:t>
      </w:r>
      <w:r w:rsidR="0021391B">
        <w:rPr>
          <w:rFonts w:asciiTheme="minorHAnsi" w:hAnsiTheme="minorHAnsi" w:cstheme="minorHAnsi"/>
        </w:rPr>
        <w:t>ht von vornherein von der Lehrk</w:t>
      </w:r>
      <w:r w:rsidR="0021391B" w:rsidRPr="0021391B">
        <w:rPr>
          <w:rFonts w:asciiTheme="minorHAnsi" w:hAnsiTheme="minorHAnsi" w:cstheme="minorHAnsi"/>
        </w:rPr>
        <w:t>r</w:t>
      </w:r>
      <w:r w:rsidR="0021391B">
        <w:rPr>
          <w:rFonts w:asciiTheme="minorHAnsi" w:hAnsiTheme="minorHAnsi" w:cstheme="minorHAnsi"/>
        </w:rPr>
        <w:t>a</w:t>
      </w:r>
      <w:r w:rsidR="0021391B" w:rsidRPr="0021391B">
        <w:rPr>
          <w:rFonts w:asciiTheme="minorHAnsi" w:hAnsiTheme="minorHAnsi" w:cstheme="minorHAnsi"/>
        </w:rPr>
        <w:t>ft zugewiesen werden, sondern einen Angebotscharakter haben.</w:t>
      </w:r>
      <w:r w:rsidR="0021391B">
        <w:rPr>
          <w:rFonts w:asciiTheme="minorHAnsi" w:hAnsiTheme="minorHAnsi" w:cstheme="minorHAnsi"/>
        </w:rPr>
        <w:t xml:space="preserve"> In der Aufgabenübersicht wird vermerkt, an welchen Stellen sich die Schülerinnen und Schüler dieser Hilfen bedienen können. Es steht ihnen völlig frei, die Aufgabe entweder ganz ohne Unterstützung von außen zu bewältigen, nur einen Teil der Hilfen in Anspruch zu nehmen oder auf jedes Hilfsangebot zurückzugreifen. </w:t>
      </w:r>
      <w:r w:rsidR="0021391B" w:rsidRPr="0021391B">
        <w:rPr>
          <w:rFonts w:asciiTheme="minorHAnsi" w:hAnsiTheme="minorHAnsi" w:cstheme="minorHAnsi"/>
        </w:rPr>
        <w:t xml:space="preserve"> </w:t>
      </w:r>
    </w:p>
    <w:p w:rsidR="0021391B" w:rsidRDefault="0021391B" w:rsidP="0021391B">
      <w:pPr>
        <w:pStyle w:val="StandardWeb"/>
        <w:jc w:val="both"/>
        <w:rPr>
          <w:rFonts w:asciiTheme="minorHAnsi" w:hAnsiTheme="minorHAnsi" w:cstheme="minorHAnsi"/>
        </w:rPr>
      </w:pPr>
      <w:r>
        <w:rPr>
          <w:rFonts w:asciiTheme="minorHAnsi" w:hAnsiTheme="minorHAnsi" w:cstheme="minorHAnsi"/>
        </w:rPr>
        <w:t xml:space="preserve">Das Spektrum an </w:t>
      </w:r>
      <w:proofErr w:type="spellStart"/>
      <w:r w:rsidRPr="0021391B">
        <w:rPr>
          <w:rFonts w:asciiTheme="minorHAnsi" w:hAnsiTheme="minorHAnsi" w:cstheme="minorHAnsi"/>
          <w:i/>
        </w:rPr>
        <w:t>Scaffolds</w:t>
      </w:r>
      <w:proofErr w:type="spellEnd"/>
      <w:r>
        <w:rPr>
          <w:rFonts w:asciiTheme="minorHAnsi" w:hAnsiTheme="minorHAnsi" w:cstheme="minorHAnsi"/>
        </w:rPr>
        <w:t xml:space="preserve"> umfasst dabei sowohl fachliche als auch methodische Unterstützungsangebote. Es ist sogar möglich Unterstützungsangebote in Form vereinfachter Versionen von Texten, Texte in leichter Sprache, Glossare, Begriffserläuterungen bereit zu halten. Vor- und Alternativstrukturierungen von Arbeitsprozessen oder auch Konkretisierung</w:t>
      </w:r>
      <w:r w:rsidR="00B74CD5">
        <w:rPr>
          <w:rFonts w:asciiTheme="minorHAnsi" w:hAnsiTheme="minorHAnsi" w:cstheme="minorHAnsi"/>
        </w:rPr>
        <w:t>en</w:t>
      </w:r>
      <w:r>
        <w:rPr>
          <w:rFonts w:asciiTheme="minorHAnsi" w:hAnsiTheme="minorHAnsi" w:cstheme="minorHAnsi"/>
        </w:rPr>
        <w:t xml:space="preserve"> von Methoden können </w:t>
      </w:r>
      <w:r w:rsidR="00B74CD5">
        <w:rPr>
          <w:rFonts w:asciiTheme="minorHAnsi" w:hAnsiTheme="minorHAnsi" w:cstheme="minorHAnsi"/>
        </w:rPr>
        <w:t>einzelne Schülerinnen und Schüler dabei helfen, eine komplexe Aufgabe selbstständig zu bewältigen.</w:t>
      </w:r>
    </w:p>
    <w:p w:rsidR="00B74CD5" w:rsidRDefault="0021391B" w:rsidP="0021391B">
      <w:pPr>
        <w:pStyle w:val="StandardWeb"/>
        <w:jc w:val="both"/>
        <w:rPr>
          <w:rFonts w:asciiTheme="minorHAnsi" w:hAnsiTheme="minorHAnsi" w:cstheme="minorHAnsi"/>
        </w:rPr>
      </w:pPr>
      <w:r w:rsidRPr="0021391B">
        <w:rPr>
          <w:rFonts w:asciiTheme="minorHAnsi" w:hAnsiTheme="minorHAnsi" w:cstheme="minorHAnsi"/>
        </w:rPr>
        <w:t>Die komplexen Aufgaben sichern die Gemeinsamkeit des Lerngegenstandes und unterstützende Angebote bieten eine Hilfestellung, mit der komplexen Aufgabe umzugehen. Ein gemeinsamer problematisierender Einstieg steht am Anfang und zum Abschluss werden die Ergebnisse aller Lernenden zusammengeführt, indem sie durch die Unterschiedlichkeit der Bearbeitung des Themas verschieden</w:t>
      </w:r>
      <w:r w:rsidR="00B74CD5">
        <w:rPr>
          <w:rFonts w:asciiTheme="minorHAnsi" w:hAnsiTheme="minorHAnsi" w:cstheme="minorHAnsi"/>
        </w:rPr>
        <w:t xml:space="preserve"> Facetten eines Ganzen bilden. </w:t>
      </w:r>
    </w:p>
    <w:p w:rsidR="0021391B" w:rsidRDefault="00B74CD5" w:rsidP="0021391B">
      <w:pPr>
        <w:pStyle w:val="StandardWeb"/>
        <w:jc w:val="both"/>
        <w:rPr>
          <w:rFonts w:asciiTheme="minorHAnsi" w:hAnsiTheme="minorHAnsi" w:cstheme="minorHAnsi"/>
        </w:rPr>
      </w:pPr>
      <w:r>
        <w:rPr>
          <w:rFonts w:asciiTheme="minorHAnsi" w:hAnsiTheme="minorHAnsi" w:cstheme="minorHAnsi"/>
        </w:rPr>
        <w:t>Komplexe Aufgaben zeichnen sich dadurch aus</w:t>
      </w:r>
      <w:r w:rsidR="0021391B" w:rsidRPr="0021391B">
        <w:rPr>
          <w:rFonts w:asciiTheme="minorHAnsi" w:hAnsiTheme="minorHAnsi" w:cstheme="minorHAnsi"/>
        </w:rPr>
        <w:t>, d</w:t>
      </w:r>
      <w:r>
        <w:rPr>
          <w:rFonts w:asciiTheme="minorHAnsi" w:hAnsiTheme="minorHAnsi" w:cstheme="minorHAnsi"/>
        </w:rPr>
        <w:t>ass s</w:t>
      </w:r>
      <w:r w:rsidR="0021391B" w:rsidRPr="0021391B">
        <w:rPr>
          <w:rFonts w:asciiTheme="minorHAnsi" w:hAnsiTheme="minorHAnsi" w:cstheme="minorHAnsi"/>
        </w:rPr>
        <w:t xml:space="preserve">ie problemorientiert sind und zum eigenständigen Denken anregen. Kleinschrittige, hoch differenzierte und gelenkte Aufgaben, die passgenau </w:t>
      </w:r>
      <w:r>
        <w:rPr>
          <w:rFonts w:asciiTheme="minorHAnsi" w:hAnsiTheme="minorHAnsi" w:cstheme="minorHAnsi"/>
        </w:rPr>
        <w:t xml:space="preserve">zugeschnittenen werden, dienen </w:t>
      </w:r>
      <w:r w:rsidR="0021391B" w:rsidRPr="0021391B">
        <w:rPr>
          <w:rFonts w:asciiTheme="minorHAnsi" w:hAnsiTheme="minorHAnsi" w:cstheme="minorHAnsi"/>
        </w:rPr>
        <w:t>als unterstützende Angebote, die helfen, mit der grundsätzlich komplexen Aufgabe umzugehen, Materialien zu erschließen, eigene Deutungen zu formulieren und zu präsentieren, mit anderen über das Thema und das eigene D</w:t>
      </w:r>
      <w:r>
        <w:rPr>
          <w:rFonts w:asciiTheme="minorHAnsi" w:hAnsiTheme="minorHAnsi" w:cstheme="minorHAnsi"/>
        </w:rPr>
        <w:t xml:space="preserve">enken zu kommunizieren. </w:t>
      </w:r>
      <w:r w:rsidR="0021391B" w:rsidRPr="0021391B">
        <w:rPr>
          <w:rFonts w:asciiTheme="minorHAnsi" w:hAnsiTheme="minorHAnsi" w:cstheme="minorHAnsi"/>
        </w:rPr>
        <w:t xml:space="preserve">Das insbesondere aus der Fremdsprachendidaktik stammende Konzept des </w:t>
      </w:r>
      <w:proofErr w:type="spellStart"/>
      <w:r w:rsidR="0021391B" w:rsidRPr="00B74CD5">
        <w:rPr>
          <w:rFonts w:asciiTheme="minorHAnsi" w:hAnsiTheme="minorHAnsi" w:cstheme="minorHAnsi"/>
          <w:i/>
        </w:rPr>
        <w:t>Scaffolding</w:t>
      </w:r>
      <w:proofErr w:type="spellEnd"/>
      <w:r w:rsidR="0021391B" w:rsidRPr="0021391B">
        <w:rPr>
          <w:rFonts w:asciiTheme="minorHAnsi" w:hAnsiTheme="minorHAnsi" w:cstheme="minorHAnsi"/>
        </w:rPr>
        <w:t xml:space="preserve"> erscheint hier </w:t>
      </w:r>
      <w:r>
        <w:rPr>
          <w:rFonts w:asciiTheme="minorHAnsi" w:hAnsiTheme="minorHAnsi" w:cstheme="minorHAnsi"/>
        </w:rPr>
        <w:t xml:space="preserve">auch in allen anderen Fächern </w:t>
      </w:r>
      <w:r w:rsidR="0021391B" w:rsidRPr="0021391B">
        <w:rPr>
          <w:rFonts w:asciiTheme="minorHAnsi" w:hAnsiTheme="minorHAnsi" w:cstheme="minorHAnsi"/>
        </w:rPr>
        <w:t>ein Erfolg ve</w:t>
      </w:r>
      <w:r>
        <w:rPr>
          <w:rFonts w:asciiTheme="minorHAnsi" w:hAnsiTheme="minorHAnsi" w:cstheme="minorHAnsi"/>
        </w:rPr>
        <w:t xml:space="preserve">rsprechender Weg zu sein. </w:t>
      </w:r>
    </w:p>
    <w:p w:rsidR="006E423D" w:rsidRDefault="006E423D" w:rsidP="0021391B">
      <w:pPr>
        <w:pStyle w:val="StandardWeb"/>
        <w:jc w:val="both"/>
        <w:rPr>
          <w:rFonts w:asciiTheme="minorHAnsi" w:hAnsiTheme="minorHAnsi" w:cstheme="minorHAnsi"/>
        </w:rPr>
      </w:pPr>
      <w:r>
        <w:rPr>
          <w:rFonts w:asciiTheme="minorHAnsi" w:hAnsiTheme="minorHAnsi" w:cstheme="minorHAnsi"/>
        </w:rPr>
        <w:t>Merkmale guter Lernaufgaben:</w:t>
      </w:r>
    </w:p>
    <w:p w:rsidR="006E423D" w:rsidRDefault="006E423D" w:rsidP="006E423D">
      <w:pPr>
        <w:pStyle w:val="StandardWeb"/>
        <w:numPr>
          <w:ilvl w:val="0"/>
          <w:numId w:val="4"/>
        </w:numPr>
        <w:jc w:val="both"/>
        <w:rPr>
          <w:rFonts w:asciiTheme="minorHAnsi" w:hAnsiTheme="minorHAnsi" w:cstheme="minorHAnsi"/>
        </w:rPr>
      </w:pPr>
      <w:r>
        <w:rPr>
          <w:rFonts w:asciiTheme="minorHAnsi" w:hAnsiTheme="minorHAnsi" w:cstheme="minorHAnsi"/>
        </w:rPr>
        <w:t>Sie sind eingebettet in eine Atmosphäre des Lernens, nicht des Prüfens.</w:t>
      </w:r>
    </w:p>
    <w:p w:rsidR="006E423D" w:rsidRDefault="006E423D" w:rsidP="006E423D">
      <w:pPr>
        <w:pStyle w:val="StandardWeb"/>
        <w:numPr>
          <w:ilvl w:val="0"/>
          <w:numId w:val="4"/>
        </w:numPr>
        <w:jc w:val="both"/>
        <w:rPr>
          <w:rFonts w:asciiTheme="minorHAnsi" w:hAnsiTheme="minorHAnsi" w:cstheme="minorHAnsi"/>
        </w:rPr>
      </w:pPr>
      <w:r>
        <w:rPr>
          <w:rFonts w:asciiTheme="minorHAnsi" w:hAnsiTheme="minorHAnsi" w:cstheme="minorHAnsi"/>
        </w:rPr>
        <w:t>Sie orientieren sich an dem Kompetenzmodell der Bildungsstandards.</w:t>
      </w:r>
    </w:p>
    <w:p w:rsidR="006E423D" w:rsidRDefault="006E423D" w:rsidP="006E423D">
      <w:pPr>
        <w:pStyle w:val="StandardWeb"/>
        <w:numPr>
          <w:ilvl w:val="0"/>
          <w:numId w:val="4"/>
        </w:numPr>
        <w:jc w:val="both"/>
        <w:rPr>
          <w:rFonts w:asciiTheme="minorHAnsi" w:hAnsiTheme="minorHAnsi" w:cstheme="minorHAnsi"/>
        </w:rPr>
      </w:pPr>
      <w:r>
        <w:rPr>
          <w:rFonts w:asciiTheme="minorHAnsi" w:hAnsiTheme="minorHAnsi" w:cstheme="minorHAnsi"/>
        </w:rPr>
        <w:t>Sie sind möglichst in einen (lebensnahen oder bedeutsamen) Kontext eingebettet.</w:t>
      </w:r>
    </w:p>
    <w:p w:rsidR="006E423D" w:rsidRDefault="006E423D" w:rsidP="006E423D">
      <w:pPr>
        <w:pStyle w:val="StandardWeb"/>
        <w:numPr>
          <w:ilvl w:val="0"/>
          <w:numId w:val="4"/>
        </w:numPr>
        <w:jc w:val="both"/>
        <w:rPr>
          <w:rFonts w:asciiTheme="minorHAnsi" w:hAnsiTheme="minorHAnsi" w:cstheme="minorHAnsi"/>
        </w:rPr>
      </w:pPr>
      <w:r>
        <w:rPr>
          <w:rFonts w:asciiTheme="minorHAnsi" w:hAnsiTheme="minorHAnsi" w:cstheme="minorHAnsi"/>
        </w:rPr>
        <w:t>Sie knüpfen an das Vorwissen der Lernenden an.</w:t>
      </w:r>
    </w:p>
    <w:p w:rsidR="006E423D" w:rsidRDefault="006E423D" w:rsidP="006E423D">
      <w:pPr>
        <w:pStyle w:val="StandardWeb"/>
        <w:numPr>
          <w:ilvl w:val="0"/>
          <w:numId w:val="4"/>
        </w:numPr>
        <w:jc w:val="both"/>
        <w:rPr>
          <w:rFonts w:asciiTheme="minorHAnsi" w:hAnsiTheme="minorHAnsi" w:cstheme="minorHAnsi"/>
        </w:rPr>
      </w:pPr>
      <w:r>
        <w:rPr>
          <w:rFonts w:asciiTheme="minorHAnsi" w:hAnsiTheme="minorHAnsi" w:cstheme="minorHAnsi"/>
        </w:rPr>
        <w:t>Sie behandeln Problemstellungen, die Lernende selbstständig erarbeiten können.</w:t>
      </w:r>
    </w:p>
    <w:p w:rsidR="006E423D" w:rsidRDefault="006E423D" w:rsidP="006E423D">
      <w:pPr>
        <w:pStyle w:val="StandardWeb"/>
        <w:numPr>
          <w:ilvl w:val="0"/>
          <w:numId w:val="4"/>
        </w:numPr>
        <w:jc w:val="both"/>
        <w:rPr>
          <w:rFonts w:asciiTheme="minorHAnsi" w:hAnsiTheme="minorHAnsi" w:cstheme="minorHAnsi"/>
        </w:rPr>
      </w:pPr>
      <w:r>
        <w:rPr>
          <w:rFonts w:asciiTheme="minorHAnsi" w:hAnsiTheme="minorHAnsi" w:cstheme="minorHAnsi"/>
        </w:rPr>
        <w:t>Sie unterstützen die eigenständige Bearbeitung differenzierend durch abgestufte Hilfen (</w:t>
      </w:r>
      <w:proofErr w:type="spellStart"/>
      <w:r w:rsidRPr="006E423D">
        <w:rPr>
          <w:rFonts w:asciiTheme="minorHAnsi" w:hAnsiTheme="minorHAnsi" w:cstheme="minorHAnsi"/>
          <w:i/>
        </w:rPr>
        <w:t>Scaffolding</w:t>
      </w:r>
      <w:proofErr w:type="spellEnd"/>
      <w:r>
        <w:rPr>
          <w:rFonts w:asciiTheme="minorHAnsi" w:hAnsiTheme="minorHAnsi" w:cstheme="minorHAnsi"/>
        </w:rPr>
        <w:t>).</w:t>
      </w:r>
    </w:p>
    <w:p w:rsidR="006E423D" w:rsidRDefault="006E423D" w:rsidP="006E423D">
      <w:pPr>
        <w:pStyle w:val="StandardWeb"/>
        <w:numPr>
          <w:ilvl w:val="0"/>
          <w:numId w:val="4"/>
        </w:numPr>
        <w:jc w:val="both"/>
        <w:rPr>
          <w:rFonts w:asciiTheme="minorHAnsi" w:hAnsiTheme="minorHAnsi" w:cstheme="minorHAnsi"/>
        </w:rPr>
      </w:pPr>
      <w:r>
        <w:rPr>
          <w:rFonts w:asciiTheme="minorHAnsi" w:hAnsiTheme="minorHAnsi" w:cstheme="minorHAnsi"/>
        </w:rPr>
        <w:t>Sie sind vielfältig im Lösungsweg und der Lösungsdarstellung.</w:t>
      </w:r>
    </w:p>
    <w:p w:rsidR="006E423D" w:rsidRDefault="006E423D" w:rsidP="006E423D">
      <w:pPr>
        <w:pStyle w:val="StandardWeb"/>
        <w:numPr>
          <w:ilvl w:val="0"/>
          <w:numId w:val="4"/>
        </w:numPr>
        <w:jc w:val="both"/>
        <w:rPr>
          <w:rFonts w:asciiTheme="minorHAnsi" w:hAnsiTheme="minorHAnsi" w:cstheme="minorHAnsi"/>
        </w:rPr>
      </w:pPr>
      <w:r>
        <w:rPr>
          <w:rFonts w:asciiTheme="minorHAnsi" w:hAnsiTheme="minorHAnsi" w:cstheme="minorHAnsi"/>
        </w:rPr>
        <w:t>Sie führen zu einem auswertbaren Lernprodukt.</w:t>
      </w:r>
    </w:p>
    <w:p w:rsidR="006E423D" w:rsidRDefault="006E423D" w:rsidP="006E423D">
      <w:pPr>
        <w:pStyle w:val="StandardWeb"/>
        <w:numPr>
          <w:ilvl w:val="0"/>
          <w:numId w:val="4"/>
        </w:numPr>
        <w:jc w:val="both"/>
        <w:rPr>
          <w:rFonts w:asciiTheme="minorHAnsi" w:hAnsiTheme="minorHAnsi" w:cstheme="minorHAnsi"/>
        </w:rPr>
      </w:pPr>
      <w:r>
        <w:rPr>
          <w:rFonts w:asciiTheme="minorHAnsi" w:hAnsiTheme="minorHAnsi" w:cstheme="minorHAnsi"/>
        </w:rPr>
        <w:t xml:space="preserve">Sie fördern das </w:t>
      </w:r>
      <w:proofErr w:type="spellStart"/>
      <w:r>
        <w:rPr>
          <w:rFonts w:asciiTheme="minorHAnsi" w:hAnsiTheme="minorHAnsi" w:cstheme="minorHAnsi"/>
        </w:rPr>
        <w:t>Könnensbewusstsein</w:t>
      </w:r>
      <w:proofErr w:type="spellEnd"/>
      <w:r w:rsidR="00DD69B5">
        <w:rPr>
          <w:rFonts w:asciiTheme="minorHAnsi" w:hAnsiTheme="minorHAnsi" w:cstheme="minorHAnsi"/>
        </w:rPr>
        <w:t>, motivieren durch Erfolgserlebnisse</w:t>
      </w:r>
      <w:r>
        <w:rPr>
          <w:rFonts w:asciiTheme="minorHAnsi" w:hAnsiTheme="minorHAnsi" w:cstheme="minorHAnsi"/>
        </w:rPr>
        <w:t xml:space="preserve"> und zeigen den Lernzuwachs.</w:t>
      </w:r>
    </w:p>
    <w:p w:rsidR="00B74CD5" w:rsidRPr="00AB7DFB" w:rsidRDefault="00B74CD5" w:rsidP="00B74CD5">
      <w:pPr>
        <w:jc w:val="both"/>
        <w:rPr>
          <w:b/>
          <w:i/>
        </w:rPr>
      </w:pPr>
      <w:r w:rsidRPr="00AB7DFB">
        <w:rPr>
          <w:b/>
          <w:i/>
        </w:rPr>
        <w:lastRenderedPageBreak/>
        <w:t>Aufgaben:</w:t>
      </w:r>
    </w:p>
    <w:p w:rsidR="00B74CD5" w:rsidRDefault="00B74CD5" w:rsidP="00B74CD5">
      <w:pPr>
        <w:pStyle w:val="Listenabsatz"/>
        <w:numPr>
          <w:ilvl w:val="0"/>
          <w:numId w:val="1"/>
        </w:numPr>
        <w:ind w:left="360"/>
        <w:jc w:val="both"/>
      </w:pPr>
      <w:r>
        <w:t>Beurteilen Sie anhand folgender Tabelle den Einsatz der Methode, wenn es darum geht, die Selbstlernkompetenz der Schüler einzuüben.</w:t>
      </w:r>
    </w:p>
    <w:p w:rsidR="00B74CD5" w:rsidRPr="00F210F0" w:rsidRDefault="00B74CD5" w:rsidP="00B74CD5">
      <w:pPr>
        <w:jc w:val="both"/>
        <w:rPr>
          <w:b/>
          <w:sz w:val="24"/>
        </w:rPr>
      </w:pPr>
      <w:r w:rsidRPr="00F210F0">
        <w:rPr>
          <w:b/>
          <w:sz w:val="24"/>
        </w:rPr>
        <w:t>Methoden-</w:t>
      </w:r>
      <w:r>
        <w:rPr>
          <w:b/>
          <w:sz w:val="24"/>
        </w:rPr>
        <w:t>Check</w:t>
      </w:r>
      <w:r>
        <w:rPr>
          <w:rStyle w:val="Funotenzeichen"/>
          <w:b/>
          <w:sz w:val="24"/>
        </w:rPr>
        <w:footnoteReference w:id="1"/>
      </w:r>
      <w:r w:rsidR="00443332">
        <w:rPr>
          <w:b/>
          <w:sz w:val="24"/>
        </w:rPr>
        <w:t xml:space="preserve">  Komplexe Lernaufgaben mit </w:t>
      </w:r>
      <w:proofErr w:type="spellStart"/>
      <w:r w:rsidR="00443332" w:rsidRPr="00443332">
        <w:rPr>
          <w:b/>
          <w:i/>
          <w:sz w:val="24"/>
        </w:rPr>
        <w:t>Scaffolding</w:t>
      </w:r>
      <w:proofErr w:type="spellEnd"/>
      <w:r w:rsidRPr="00F210F0">
        <w:rPr>
          <w:b/>
          <w:sz w:val="24"/>
        </w:rPr>
        <w:t>:</w:t>
      </w:r>
    </w:p>
    <w:tbl>
      <w:tblPr>
        <w:tblStyle w:val="Tabellenraster"/>
        <w:tblW w:w="0" w:type="auto"/>
        <w:tblLayout w:type="fixed"/>
        <w:tblLook w:val="04A0" w:firstRow="1" w:lastRow="0" w:firstColumn="1" w:lastColumn="0" w:noHBand="0" w:noVBand="1"/>
      </w:tblPr>
      <w:tblGrid>
        <w:gridCol w:w="817"/>
        <w:gridCol w:w="2463"/>
        <w:gridCol w:w="2002"/>
        <w:gridCol w:w="2002"/>
        <w:gridCol w:w="2002"/>
      </w:tblGrid>
      <w:tr w:rsidR="00B74CD5" w:rsidRPr="00D826FA" w:rsidTr="0005255D">
        <w:tc>
          <w:tcPr>
            <w:tcW w:w="817" w:type="dxa"/>
          </w:tcPr>
          <w:p w:rsidR="00B74CD5" w:rsidRDefault="00B74CD5" w:rsidP="0005255D">
            <w:pPr>
              <w:jc w:val="both"/>
            </w:pPr>
          </w:p>
        </w:tc>
        <w:tc>
          <w:tcPr>
            <w:tcW w:w="2463" w:type="dxa"/>
          </w:tcPr>
          <w:p w:rsidR="00B74CD5" w:rsidRPr="00D826FA" w:rsidRDefault="00B74CD5" w:rsidP="0005255D">
            <w:pPr>
              <w:jc w:val="both"/>
            </w:pPr>
            <w:r>
              <w:t>Die Schüler lernen, …</w:t>
            </w:r>
          </w:p>
        </w:tc>
        <w:tc>
          <w:tcPr>
            <w:tcW w:w="2002" w:type="dxa"/>
          </w:tcPr>
          <w:p w:rsidR="00B74CD5" w:rsidRPr="00D826FA" w:rsidRDefault="00B74CD5" w:rsidP="0005255D">
            <w:pPr>
              <w:jc w:val="both"/>
            </w:pPr>
            <w:r w:rsidRPr="00D826FA">
              <w:t>hohe Selbststeuerung</w:t>
            </w:r>
          </w:p>
        </w:tc>
        <w:tc>
          <w:tcPr>
            <w:tcW w:w="2002" w:type="dxa"/>
          </w:tcPr>
          <w:p w:rsidR="00B74CD5" w:rsidRPr="00D826FA" w:rsidRDefault="00B74CD5" w:rsidP="0005255D">
            <w:pPr>
              <w:jc w:val="both"/>
            </w:pPr>
            <w:r>
              <w:t>mittlere Selbststeuerung</w:t>
            </w:r>
          </w:p>
        </w:tc>
        <w:tc>
          <w:tcPr>
            <w:tcW w:w="2002" w:type="dxa"/>
          </w:tcPr>
          <w:p w:rsidR="00B74CD5" w:rsidRPr="00D826FA" w:rsidRDefault="00B74CD5" w:rsidP="0005255D">
            <w:pPr>
              <w:jc w:val="both"/>
            </w:pPr>
            <w:r>
              <w:t>g</w:t>
            </w:r>
            <w:r w:rsidRPr="00D826FA">
              <w:t xml:space="preserve">eringe Selbststeuerung </w:t>
            </w:r>
          </w:p>
        </w:tc>
      </w:tr>
      <w:tr w:rsidR="00B74CD5" w:rsidRPr="00D826FA" w:rsidTr="00DD69B5">
        <w:trPr>
          <w:cantSplit/>
          <w:trHeight w:val="680"/>
        </w:trPr>
        <w:tc>
          <w:tcPr>
            <w:tcW w:w="817" w:type="dxa"/>
            <w:vMerge w:val="restart"/>
            <w:textDirection w:val="btLr"/>
          </w:tcPr>
          <w:p w:rsidR="00B74CD5" w:rsidRDefault="00B74CD5" w:rsidP="0005255D">
            <w:pPr>
              <w:ind w:left="113" w:right="113"/>
            </w:pPr>
            <w:r>
              <w:t>Ziele setzen</w:t>
            </w:r>
          </w:p>
        </w:tc>
        <w:tc>
          <w:tcPr>
            <w:tcW w:w="2463" w:type="dxa"/>
          </w:tcPr>
          <w:p w:rsidR="00B74CD5" w:rsidRPr="00D826FA" w:rsidRDefault="00B74CD5" w:rsidP="0005255D">
            <w:r>
              <w:t>s</w:t>
            </w:r>
            <w:r w:rsidRPr="00D826FA">
              <w:t xml:space="preserve">ich Lernziele </w:t>
            </w:r>
            <w:r>
              <w:t xml:space="preserve">selbst zu </w:t>
            </w:r>
            <w:r w:rsidRPr="00D826FA">
              <w:t>setzen</w:t>
            </w:r>
            <w:r>
              <w:t>.</w:t>
            </w:r>
          </w:p>
        </w:tc>
        <w:tc>
          <w:tcPr>
            <w:tcW w:w="2002" w:type="dxa"/>
          </w:tcPr>
          <w:p w:rsidR="00B74CD5" w:rsidRPr="00D826FA" w:rsidRDefault="00B74CD5" w:rsidP="0005255D">
            <w:pPr>
              <w:jc w:val="both"/>
            </w:pPr>
          </w:p>
        </w:tc>
        <w:tc>
          <w:tcPr>
            <w:tcW w:w="2002" w:type="dxa"/>
          </w:tcPr>
          <w:p w:rsidR="00B74CD5" w:rsidRPr="00D826FA" w:rsidRDefault="00B74CD5" w:rsidP="0005255D">
            <w:pPr>
              <w:jc w:val="both"/>
            </w:pPr>
          </w:p>
        </w:tc>
        <w:tc>
          <w:tcPr>
            <w:tcW w:w="2002" w:type="dxa"/>
          </w:tcPr>
          <w:p w:rsidR="00B74CD5" w:rsidRPr="00D826FA" w:rsidRDefault="00B74CD5" w:rsidP="0005255D">
            <w:pPr>
              <w:jc w:val="both"/>
            </w:pPr>
          </w:p>
        </w:tc>
      </w:tr>
      <w:tr w:rsidR="00B74CD5" w:rsidRPr="00D826FA" w:rsidTr="00DD69B5">
        <w:trPr>
          <w:cantSplit/>
          <w:trHeight w:val="680"/>
        </w:trPr>
        <w:tc>
          <w:tcPr>
            <w:tcW w:w="817" w:type="dxa"/>
            <w:vMerge/>
            <w:textDirection w:val="btLr"/>
          </w:tcPr>
          <w:p w:rsidR="00B74CD5" w:rsidRDefault="00B74CD5" w:rsidP="0005255D">
            <w:pPr>
              <w:ind w:left="113" w:right="113"/>
            </w:pPr>
          </w:p>
        </w:tc>
        <w:tc>
          <w:tcPr>
            <w:tcW w:w="2463" w:type="dxa"/>
          </w:tcPr>
          <w:p w:rsidR="00B74CD5" w:rsidRDefault="00B74CD5" w:rsidP="0005255D">
            <w:r>
              <w:t>ihre Ziele zu strukturieren.</w:t>
            </w:r>
          </w:p>
        </w:tc>
        <w:tc>
          <w:tcPr>
            <w:tcW w:w="2002" w:type="dxa"/>
          </w:tcPr>
          <w:p w:rsidR="00B74CD5" w:rsidRPr="00D826FA" w:rsidRDefault="00B74CD5" w:rsidP="0005255D">
            <w:pPr>
              <w:jc w:val="both"/>
            </w:pPr>
          </w:p>
        </w:tc>
        <w:tc>
          <w:tcPr>
            <w:tcW w:w="2002" w:type="dxa"/>
          </w:tcPr>
          <w:p w:rsidR="00B74CD5" w:rsidRPr="00D826FA" w:rsidRDefault="00B74CD5" w:rsidP="0005255D">
            <w:pPr>
              <w:jc w:val="both"/>
            </w:pPr>
          </w:p>
        </w:tc>
        <w:tc>
          <w:tcPr>
            <w:tcW w:w="2002" w:type="dxa"/>
          </w:tcPr>
          <w:p w:rsidR="00B74CD5" w:rsidRPr="00D826FA" w:rsidRDefault="00B74CD5" w:rsidP="0005255D">
            <w:pPr>
              <w:jc w:val="both"/>
            </w:pPr>
          </w:p>
        </w:tc>
      </w:tr>
      <w:tr w:rsidR="00B74CD5" w:rsidRPr="00D826FA" w:rsidTr="00DD69B5">
        <w:trPr>
          <w:trHeight w:val="680"/>
        </w:trPr>
        <w:tc>
          <w:tcPr>
            <w:tcW w:w="817" w:type="dxa"/>
            <w:vMerge/>
          </w:tcPr>
          <w:p w:rsidR="00B74CD5" w:rsidRPr="00D826FA" w:rsidRDefault="00B74CD5" w:rsidP="0005255D"/>
        </w:tc>
        <w:tc>
          <w:tcPr>
            <w:tcW w:w="2463" w:type="dxa"/>
          </w:tcPr>
          <w:p w:rsidR="00B74CD5" w:rsidRPr="00D826FA" w:rsidRDefault="00B74CD5" w:rsidP="0005255D">
            <w:r>
              <w:t>realistische Etappen und Schritte festzulegen.</w:t>
            </w:r>
          </w:p>
        </w:tc>
        <w:tc>
          <w:tcPr>
            <w:tcW w:w="2002" w:type="dxa"/>
          </w:tcPr>
          <w:p w:rsidR="00B74CD5" w:rsidRPr="00D826FA" w:rsidRDefault="00B74CD5" w:rsidP="0005255D">
            <w:pPr>
              <w:jc w:val="both"/>
            </w:pPr>
          </w:p>
        </w:tc>
        <w:tc>
          <w:tcPr>
            <w:tcW w:w="2002" w:type="dxa"/>
          </w:tcPr>
          <w:p w:rsidR="00B74CD5" w:rsidRPr="00D826FA" w:rsidRDefault="00B74CD5" w:rsidP="0005255D">
            <w:pPr>
              <w:jc w:val="both"/>
            </w:pPr>
          </w:p>
        </w:tc>
        <w:tc>
          <w:tcPr>
            <w:tcW w:w="2002" w:type="dxa"/>
          </w:tcPr>
          <w:p w:rsidR="00B74CD5" w:rsidRPr="00D826FA" w:rsidRDefault="00B74CD5" w:rsidP="0005255D">
            <w:pPr>
              <w:jc w:val="both"/>
            </w:pPr>
          </w:p>
        </w:tc>
      </w:tr>
      <w:tr w:rsidR="00B74CD5" w:rsidRPr="00D826FA" w:rsidTr="0005255D">
        <w:trPr>
          <w:trHeight w:val="806"/>
        </w:trPr>
        <w:tc>
          <w:tcPr>
            <w:tcW w:w="817" w:type="dxa"/>
            <w:vMerge w:val="restart"/>
            <w:textDirection w:val="btLr"/>
          </w:tcPr>
          <w:p w:rsidR="00B74CD5" w:rsidRPr="00D826FA" w:rsidRDefault="00B74CD5" w:rsidP="0005255D">
            <w:pPr>
              <w:ind w:left="113" w:right="113"/>
            </w:pPr>
            <w:r>
              <w:t>Lernen planen</w:t>
            </w:r>
          </w:p>
        </w:tc>
        <w:tc>
          <w:tcPr>
            <w:tcW w:w="2463" w:type="dxa"/>
          </w:tcPr>
          <w:p w:rsidR="00B74CD5" w:rsidRPr="00D826FA" w:rsidRDefault="00B74CD5" w:rsidP="0005255D">
            <w:r>
              <w:t>die Aufgaben-anforderung zu antizipieren.</w:t>
            </w:r>
          </w:p>
        </w:tc>
        <w:tc>
          <w:tcPr>
            <w:tcW w:w="2002" w:type="dxa"/>
          </w:tcPr>
          <w:p w:rsidR="00B74CD5" w:rsidRPr="00D826FA" w:rsidRDefault="00B74CD5" w:rsidP="0005255D">
            <w:pPr>
              <w:jc w:val="both"/>
            </w:pPr>
          </w:p>
        </w:tc>
        <w:tc>
          <w:tcPr>
            <w:tcW w:w="2002" w:type="dxa"/>
          </w:tcPr>
          <w:p w:rsidR="00B74CD5" w:rsidRPr="00D826FA" w:rsidRDefault="00B74CD5" w:rsidP="0005255D">
            <w:pPr>
              <w:jc w:val="both"/>
            </w:pPr>
          </w:p>
        </w:tc>
        <w:tc>
          <w:tcPr>
            <w:tcW w:w="2002" w:type="dxa"/>
          </w:tcPr>
          <w:p w:rsidR="00B74CD5" w:rsidRPr="00D826FA" w:rsidRDefault="00B74CD5" w:rsidP="0005255D">
            <w:pPr>
              <w:jc w:val="both"/>
            </w:pPr>
          </w:p>
        </w:tc>
      </w:tr>
      <w:tr w:rsidR="00B74CD5" w:rsidRPr="00D826FA" w:rsidTr="00DD69B5">
        <w:trPr>
          <w:trHeight w:val="680"/>
        </w:trPr>
        <w:tc>
          <w:tcPr>
            <w:tcW w:w="817" w:type="dxa"/>
            <w:vMerge/>
          </w:tcPr>
          <w:p w:rsidR="00B74CD5" w:rsidRPr="00D826FA" w:rsidRDefault="00B74CD5" w:rsidP="0005255D"/>
        </w:tc>
        <w:tc>
          <w:tcPr>
            <w:tcW w:w="2463" w:type="dxa"/>
          </w:tcPr>
          <w:p w:rsidR="00B74CD5" w:rsidRDefault="00B74CD5" w:rsidP="0005255D">
            <w:r>
              <w:t>die Ressource Zeit richtig einzuschätzen.</w:t>
            </w:r>
          </w:p>
          <w:p w:rsidR="00B74CD5" w:rsidRPr="00D826FA" w:rsidRDefault="00B74CD5" w:rsidP="0005255D"/>
        </w:tc>
        <w:tc>
          <w:tcPr>
            <w:tcW w:w="2002" w:type="dxa"/>
          </w:tcPr>
          <w:p w:rsidR="00B74CD5" w:rsidRPr="00D826FA" w:rsidRDefault="00B74CD5" w:rsidP="0005255D">
            <w:pPr>
              <w:jc w:val="both"/>
            </w:pPr>
          </w:p>
        </w:tc>
        <w:tc>
          <w:tcPr>
            <w:tcW w:w="2002" w:type="dxa"/>
          </w:tcPr>
          <w:p w:rsidR="00B74CD5" w:rsidRPr="00D826FA" w:rsidRDefault="00B74CD5" w:rsidP="0005255D">
            <w:pPr>
              <w:jc w:val="both"/>
            </w:pPr>
          </w:p>
        </w:tc>
        <w:tc>
          <w:tcPr>
            <w:tcW w:w="2002" w:type="dxa"/>
          </w:tcPr>
          <w:p w:rsidR="00B74CD5" w:rsidRPr="00D826FA" w:rsidRDefault="00B74CD5" w:rsidP="0005255D">
            <w:pPr>
              <w:jc w:val="both"/>
            </w:pPr>
          </w:p>
        </w:tc>
      </w:tr>
      <w:tr w:rsidR="00B74CD5" w:rsidRPr="00D826FA" w:rsidTr="0005255D">
        <w:trPr>
          <w:trHeight w:val="806"/>
        </w:trPr>
        <w:tc>
          <w:tcPr>
            <w:tcW w:w="817" w:type="dxa"/>
            <w:vMerge/>
          </w:tcPr>
          <w:p w:rsidR="00B74CD5" w:rsidRPr="00D826FA" w:rsidRDefault="00B74CD5" w:rsidP="0005255D"/>
        </w:tc>
        <w:tc>
          <w:tcPr>
            <w:tcW w:w="2463" w:type="dxa"/>
          </w:tcPr>
          <w:p w:rsidR="00B74CD5" w:rsidRDefault="00B74CD5" w:rsidP="0005255D">
            <w:r>
              <w:t>die Reihenfolge der Aufgaben entsprechend auszuwählen.</w:t>
            </w:r>
          </w:p>
        </w:tc>
        <w:tc>
          <w:tcPr>
            <w:tcW w:w="2002" w:type="dxa"/>
          </w:tcPr>
          <w:p w:rsidR="00B74CD5" w:rsidRPr="00D826FA" w:rsidRDefault="00B74CD5" w:rsidP="0005255D">
            <w:pPr>
              <w:jc w:val="both"/>
            </w:pPr>
          </w:p>
        </w:tc>
        <w:tc>
          <w:tcPr>
            <w:tcW w:w="2002" w:type="dxa"/>
          </w:tcPr>
          <w:p w:rsidR="00B74CD5" w:rsidRPr="00D826FA" w:rsidRDefault="00B74CD5" w:rsidP="0005255D">
            <w:pPr>
              <w:jc w:val="both"/>
            </w:pPr>
          </w:p>
        </w:tc>
        <w:tc>
          <w:tcPr>
            <w:tcW w:w="2002" w:type="dxa"/>
          </w:tcPr>
          <w:p w:rsidR="00B74CD5" w:rsidRPr="00D826FA" w:rsidRDefault="00B74CD5" w:rsidP="0005255D">
            <w:pPr>
              <w:jc w:val="both"/>
            </w:pPr>
          </w:p>
        </w:tc>
      </w:tr>
      <w:tr w:rsidR="00B74CD5" w:rsidRPr="00D826FA" w:rsidTr="0005255D">
        <w:trPr>
          <w:trHeight w:val="806"/>
        </w:trPr>
        <w:tc>
          <w:tcPr>
            <w:tcW w:w="817" w:type="dxa"/>
            <w:vMerge w:val="restart"/>
            <w:textDirection w:val="btLr"/>
          </w:tcPr>
          <w:p w:rsidR="00B74CD5" w:rsidRDefault="00B74CD5" w:rsidP="0005255D">
            <w:pPr>
              <w:ind w:left="113" w:right="113"/>
            </w:pPr>
            <w:r>
              <w:t>Lernen realisieren</w:t>
            </w:r>
          </w:p>
        </w:tc>
        <w:tc>
          <w:tcPr>
            <w:tcW w:w="2463" w:type="dxa"/>
          </w:tcPr>
          <w:p w:rsidR="00B74CD5" w:rsidRPr="00D826FA" w:rsidRDefault="00B74CD5" w:rsidP="0005255D">
            <w:r>
              <w:t>Lern- und Arbeits-techniken selbstständig anzuwenden.</w:t>
            </w:r>
          </w:p>
        </w:tc>
        <w:tc>
          <w:tcPr>
            <w:tcW w:w="2002" w:type="dxa"/>
          </w:tcPr>
          <w:p w:rsidR="00B74CD5" w:rsidRPr="00D826FA" w:rsidRDefault="00B74CD5" w:rsidP="0005255D">
            <w:pPr>
              <w:jc w:val="both"/>
            </w:pPr>
          </w:p>
        </w:tc>
        <w:tc>
          <w:tcPr>
            <w:tcW w:w="2002" w:type="dxa"/>
          </w:tcPr>
          <w:p w:rsidR="00B74CD5" w:rsidRPr="00D826FA" w:rsidRDefault="00B74CD5" w:rsidP="0005255D">
            <w:pPr>
              <w:jc w:val="both"/>
            </w:pPr>
          </w:p>
        </w:tc>
        <w:tc>
          <w:tcPr>
            <w:tcW w:w="2002" w:type="dxa"/>
          </w:tcPr>
          <w:p w:rsidR="00B74CD5" w:rsidRPr="00D826FA" w:rsidRDefault="00B74CD5" w:rsidP="0005255D">
            <w:pPr>
              <w:jc w:val="both"/>
            </w:pPr>
          </w:p>
        </w:tc>
      </w:tr>
      <w:tr w:rsidR="00B74CD5" w:rsidRPr="00D826FA" w:rsidTr="0005255D">
        <w:trPr>
          <w:trHeight w:val="806"/>
        </w:trPr>
        <w:tc>
          <w:tcPr>
            <w:tcW w:w="817" w:type="dxa"/>
            <w:vMerge/>
          </w:tcPr>
          <w:p w:rsidR="00B74CD5" w:rsidRDefault="00B74CD5" w:rsidP="0005255D"/>
        </w:tc>
        <w:tc>
          <w:tcPr>
            <w:tcW w:w="2463" w:type="dxa"/>
          </w:tcPr>
          <w:p w:rsidR="00B74CD5" w:rsidRPr="00D826FA" w:rsidRDefault="00B74CD5" w:rsidP="0005255D">
            <w:r>
              <w:t>eigene Schwierigkeiten zu erkennen und auf Hilfen zurückzugreifen.</w:t>
            </w:r>
          </w:p>
        </w:tc>
        <w:tc>
          <w:tcPr>
            <w:tcW w:w="2002" w:type="dxa"/>
          </w:tcPr>
          <w:p w:rsidR="00B74CD5" w:rsidRPr="00D826FA" w:rsidRDefault="00B74CD5" w:rsidP="0005255D">
            <w:pPr>
              <w:jc w:val="both"/>
            </w:pPr>
          </w:p>
        </w:tc>
        <w:tc>
          <w:tcPr>
            <w:tcW w:w="2002" w:type="dxa"/>
          </w:tcPr>
          <w:p w:rsidR="00B74CD5" w:rsidRPr="00D826FA" w:rsidRDefault="00B74CD5" w:rsidP="0005255D">
            <w:pPr>
              <w:jc w:val="both"/>
            </w:pPr>
          </w:p>
        </w:tc>
        <w:tc>
          <w:tcPr>
            <w:tcW w:w="2002" w:type="dxa"/>
          </w:tcPr>
          <w:p w:rsidR="00B74CD5" w:rsidRPr="00D826FA" w:rsidRDefault="00B74CD5" w:rsidP="0005255D">
            <w:pPr>
              <w:jc w:val="both"/>
            </w:pPr>
          </w:p>
        </w:tc>
      </w:tr>
      <w:tr w:rsidR="00B74CD5" w:rsidRPr="00D826FA" w:rsidTr="00DD69B5">
        <w:trPr>
          <w:trHeight w:val="680"/>
        </w:trPr>
        <w:tc>
          <w:tcPr>
            <w:tcW w:w="817" w:type="dxa"/>
            <w:vMerge/>
          </w:tcPr>
          <w:p w:rsidR="00B74CD5" w:rsidRDefault="00B74CD5" w:rsidP="0005255D"/>
        </w:tc>
        <w:tc>
          <w:tcPr>
            <w:tcW w:w="2463" w:type="dxa"/>
          </w:tcPr>
          <w:p w:rsidR="00B74CD5" w:rsidRDefault="00B74CD5" w:rsidP="0005255D">
            <w:r>
              <w:t>ihre Lernmotivation aufrecht zu erhalten.</w:t>
            </w:r>
          </w:p>
        </w:tc>
        <w:tc>
          <w:tcPr>
            <w:tcW w:w="2002" w:type="dxa"/>
          </w:tcPr>
          <w:p w:rsidR="00B74CD5" w:rsidRPr="00D826FA" w:rsidRDefault="00B74CD5" w:rsidP="0005255D">
            <w:pPr>
              <w:jc w:val="both"/>
            </w:pPr>
          </w:p>
        </w:tc>
        <w:tc>
          <w:tcPr>
            <w:tcW w:w="2002" w:type="dxa"/>
          </w:tcPr>
          <w:p w:rsidR="00B74CD5" w:rsidRPr="00D826FA" w:rsidRDefault="00B74CD5" w:rsidP="0005255D">
            <w:pPr>
              <w:jc w:val="both"/>
            </w:pPr>
          </w:p>
        </w:tc>
        <w:tc>
          <w:tcPr>
            <w:tcW w:w="2002" w:type="dxa"/>
          </w:tcPr>
          <w:p w:rsidR="00B74CD5" w:rsidRPr="00D826FA" w:rsidRDefault="00B74CD5" w:rsidP="0005255D">
            <w:pPr>
              <w:jc w:val="both"/>
            </w:pPr>
          </w:p>
        </w:tc>
      </w:tr>
      <w:tr w:rsidR="00B74CD5" w:rsidRPr="00D826FA" w:rsidTr="00DD69B5">
        <w:trPr>
          <w:cantSplit/>
          <w:trHeight w:val="680"/>
        </w:trPr>
        <w:tc>
          <w:tcPr>
            <w:tcW w:w="817" w:type="dxa"/>
            <w:vMerge w:val="restart"/>
            <w:textDirection w:val="btLr"/>
          </w:tcPr>
          <w:p w:rsidR="00B74CD5" w:rsidRDefault="00B74CD5" w:rsidP="0005255D">
            <w:pPr>
              <w:ind w:left="113" w:right="113"/>
            </w:pPr>
            <w:r>
              <w:t>Lernen reflektieren</w:t>
            </w:r>
          </w:p>
        </w:tc>
        <w:tc>
          <w:tcPr>
            <w:tcW w:w="2463" w:type="dxa"/>
          </w:tcPr>
          <w:p w:rsidR="00B74CD5" w:rsidRDefault="00B74CD5" w:rsidP="0005255D">
            <w:r>
              <w:t>ihre Lernergebnisse zu überprüfen.</w:t>
            </w:r>
          </w:p>
        </w:tc>
        <w:tc>
          <w:tcPr>
            <w:tcW w:w="2002" w:type="dxa"/>
          </w:tcPr>
          <w:p w:rsidR="00B74CD5" w:rsidRPr="00D826FA" w:rsidRDefault="00B74CD5" w:rsidP="0005255D">
            <w:pPr>
              <w:jc w:val="both"/>
            </w:pPr>
          </w:p>
        </w:tc>
        <w:tc>
          <w:tcPr>
            <w:tcW w:w="2002" w:type="dxa"/>
          </w:tcPr>
          <w:p w:rsidR="00B74CD5" w:rsidRPr="00D826FA" w:rsidRDefault="00B74CD5" w:rsidP="0005255D">
            <w:pPr>
              <w:jc w:val="both"/>
            </w:pPr>
          </w:p>
        </w:tc>
        <w:tc>
          <w:tcPr>
            <w:tcW w:w="2002" w:type="dxa"/>
          </w:tcPr>
          <w:p w:rsidR="00B74CD5" w:rsidRPr="00D826FA" w:rsidRDefault="00B74CD5" w:rsidP="0005255D">
            <w:pPr>
              <w:jc w:val="both"/>
            </w:pPr>
          </w:p>
        </w:tc>
      </w:tr>
      <w:tr w:rsidR="00B74CD5" w:rsidRPr="00D826FA" w:rsidTr="0005255D">
        <w:trPr>
          <w:trHeight w:val="806"/>
        </w:trPr>
        <w:tc>
          <w:tcPr>
            <w:tcW w:w="817" w:type="dxa"/>
            <w:vMerge/>
          </w:tcPr>
          <w:p w:rsidR="00B74CD5" w:rsidRDefault="00B74CD5" w:rsidP="0005255D"/>
        </w:tc>
        <w:tc>
          <w:tcPr>
            <w:tcW w:w="2463" w:type="dxa"/>
          </w:tcPr>
          <w:p w:rsidR="00B74CD5" w:rsidRDefault="00B74CD5" w:rsidP="0005255D">
            <w:r>
              <w:t>ihre Lernergebnisse einzuschätzen und zur Weiterarbeit zu nutzen.</w:t>
            </w:r>
          </w:p>
        </w:tc>
        <w:tc>
          <w:tcPr>
            <w:tcW w:w="2002" w:type="dxa"/>
          </w:tcPr>
          <w:p w:rsidR="00B74CD5" w:rsidRPr="00D826FA" w:rsidRDefault="00B74CD5" w:rsidP="0005255D">
            <w:pPr>
              <w:jc w:val="both"/>
            </w:pPr>
          </w:p>
        </w:tc>
        <w:tc>
          <w:tcPr>
            <w:tcW w:w="2002" w:type="dxa"/>
          </w:tcPr>
          <w:p w:rsidR="00B74CD5" w:rsidRPr="00D826FA" w:rsidRDefault="00B74CD5" w:rsidP="0005255D">
            <w:pPr>
              <w:jc w:val="both"/>
            </w:pPr>
          </w:p>
        </w:tc>
        <w:tc>
          <w:tcPr>
            <w:tcW w:w="2002" w:type="dxa"/>
          </w:tcPr>
          <w:p w:rsidR="00B74CD5" w:rsidRPr="00D826FA" w:rsidRDefault="00B74CD5" w:rsidP="0005255D">
            <w:pPr>
              <w:jc w:val="both"/>
            </w:pPr>
          </w:p>
        </w:tc>
      </w:tr>
      <w:tr w:rsidR="00B74CD5" w:rsidRPr="00D826FA" w:rsidTr="00DD69B5">
        <w:trPr>
          <w:trHeight w:val="680"/>
        </w:trPr>
        <w:tc>
          <w:tcPr>
            <w:tcW w:w="817" w:type="dxa"/>
            <w:vMerge/>
          </w:tcPr>
          <w:p w:rsidR="00B74CD5" w:rsidRDefault="00B74CD5" w:rsidP="0005255D"/>
        </w:tc>
        <w:tc>
          <w:tcPr>
            <w:tcW w:w="2463" w:type="dxa"/>
          </w:tcPr>
          <w:p w:rsidR="00B74CD5" w:rsidRDefault="00B74CD5" w:rsidP="0005255D">
            <w:r>
              <w:t>ihren Lernprozess zu  reflektieren.</w:t>
            </w:r>
          </w:p>
        </w:tc>
        <w:tc>
          <w:tcPr>
            <w:tcW w:w="2002" w:type="dxa"/>
          </w:tcPr>
          <w:p w:rsidR="00B74CD5" w:rsidRPr="00D826FA" w:rsidRDefault="00B74CD5" w:rsidP="0005255D">
            <w:pPr>
              <w:jc w:val="both"/>
            </w:pPr>
          </w:p>
        </w:tc>
        <w:tc>
          <w:tcPr>
            <w:tcW w:w="2002" w:type="dxa"/>
          </w:tcPr>
          <w:p w:rsidR="00B74CD5" w:rsidRPr="00D826FA" w:rsidRDefault="00B74CD5" w:rsidP="0005255D">
            <w:pPr>
              <w:jc w:val="both"/>
            </w:pPr>
          </w:p>
        </w:tc>
        <w:tc>
          <w:tcPr>
            <w:tcW w:w="2002" w:type="dxa"/>
          </w:tcPr>
          <w:p w:rsidR="00B74CD5" w:rsidRPr="00D826FA" w:rsidRDefault="00B74CD5" w:rsidP="0005255D">
            <w:pPr>
              <w:jc w:val="both"/>
            </w:pPr>
          </w:p>
        </w:tc>
      </w:tr>
    </w:tbl>
    <w:p w:rsidR="00B74CD5" w:rsidRPr="00D826FA" w:rsidRDefault="00B74CD5" w:rsidP="00B74CD5">
      <w:pPr>
        <w:jc w:val="both"/>
      </w:pPr>
    </w:p>
    <w:p w:rsidR="00B74CD5" w:rsidRDefault="00B74CD5" w:rsidP="00B74CD5">
      <w:pPr>
        <w:pStyle w:val="Listenabsatz"/>
        <w:numPr>
          <w:ilvl w:val="0"/>
          <w:numId w:val="1"/>
        </w:numPr>
        <w:ind w:left="360"/>
        <w:jc w:val="both"/>
      </w:pPr>
      <w:r w:rsidRPr="00D826FA">
        <w:t>Welche „Stolpersteine“ sehen Sie bei der Wahl dieser Methode?</w:t>
      </w:r>
    </w:p>
    <w:p w:rsidR="00B74CD5" w:rsidRDefault="00B74CD5" w:rsidP="00B74CD5">
      <w:pPr>
        <w:pStyle w:val="Listenabsatz"/>
        <w:jc w:val="both"/>
      </w:pPr>
    </w:p>
    <w:p w:rsidR="00FA7C81" w:rsidRPr="00DD69B5" w:rsidRDefault="00B74CD5" w:rsidP="0021391B">
      <w:pPr>
        <w:pStyle w:val="Listenabsatz"/>
        <w:numPr>
          <w:ilvl w:val="0"/>
          <w:numId w:val="1"/>
        </w:numPr>
        <w:ind w:left="360"/>
        <w:jc w:val="both"/>
      </w:pPr>
      <w:r>
        <w:t xml:space="preserve">Welche Selbstlernkompetenzen müssen vorher im Unterricht angebahnt werden, damit die Schüler </w:t>
      </w:r>
      <w:r w:rsidR="00762287">
        <w:t>komplexe Lernaufgaben</w:t>
      </w:r>
      <w:r>
        <w:t xml:space="preserve"> selbstständig bewältigen und ein Erfolgserlebnis haben?</w:t>
      </w:r>
    </w:p>
    <w:sectPr w:rsidR="00FA7C81" w:rsidRPr="00DD69B5" w:rsidSect="00B74CD5">
      <w:footerReference w:type="default" r:id="rId8"/>
      <w:pgSz w:w="11906" w:h="16838"/>
      <w:pgMar w:top="851"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4FC" w:rsidRDefault="003B14FC" w:rsidP="00B74CD5">
      <w:pPr>
        <w:spacing w:after="0" w:line="240" w:lineRule="auto"/>
      </w:pPr>
      <w:r>
        <w:separator/>
      </w:r>
    </w:p>
  </w:endnote>
  <w:endnote w:type="continuationSeparator" w:id="0">
    <w:p w:rsidR="003B14FC" w:rsidRDefault="003B14FC" w:rsidP="00B74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8000826"/>
      <w:docPartObj>
        <w:docPartGallery w:val="Page Numbers (Bottom of Page)"/>
        <w:docPartUnique/>
      </w:docPartObj>
    </w:sdtPr>
    <w:sdtEndPr/>
    <w:sdtContent>
      <w:p w:rsidR="006E423D" w:rsidRDefault="006E423D">
        <w:pPr>
          <w:pStyle w:val="Fuzeile"/>
          <w:jc w:val="right"/>
        </w:pPr>
        <w:r>
          <w:fldChar w:fldCharType="begin"/>
        </w:r>
        <w:r>
          <w:instrText>PAGE   \* MERGEFORMAT</w:instrText>
        </w:r>
        <w:r>
          <w:fldChar w:fldCharType="separate"/>
        </w:r>
        <w:r w:rsidR="00CA22E3">
          <w:rPr>
            <w:noProof/>
          </w:rPr>
          <w:t>3</w:t>
        </w:r>
        <w:r>
          <w:fldChar w:fldCharType="end"/>
        </w:r>
      </w:p>
    </w:sdtContent>
  </w:sdt>
  <w:p w:rsidR="006E423D" w:rsidRDefault="006E423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4FC" w:rsidRDefault="003B14FC" w:rsidP="00B74CD5">
      <w:pPr>
        <w:spacing w:after="0" w:line="240" w:lineRule="auto"/>
      </w:pPr>
      <w:r>
        <w:separator/>
      </w:r>
    </w:p>
  </w:footnote>
  <w:footnote w:type="continuationSeparator" w:id="0">
    <w:p w:rsidR="003B14FC" w:rsidRDefault="003B14FC" w:rsidP="00B74CD5">
      <w:pPr>
        <w:spacing w:after="0" w:line="240" w:lineRule="auto"/>
      </w:pPr>
      <w:r>
        <w:continuationSeparator/>
      </w:r>
    </w:p>
  </w:footnote>
  <w:footnote w:id="1">
    <w:p w:rsidR="00B74CD5" w:rsidRDefault="00B74CD5" w:rsidP="00B74CD5">
      <w:pPr>
        <w:pStyle w:val="Funotentext"/>
        <w:jc w:val="both"/>
      </w:pPr>
      <w:r>
        <w:rPr>
          <w:rStyle w:val="Funotenzeichen"/>
        </w:rPr>
        <w:footnoteRef/>
      </w:r>
      <w:r>
        <w:t xml:space="preserve"> Der Methoden-Check bezieht sich nicht auf Elaborationsstrategien (Verstehen und Behalten) oder Organisationsstrategien (Strukturen, nach denen Wissen organisiert ist, zu erkennen oder selbst zu generieren), sondern auf Selbstkontroll- und Selbstlernstrategien der Planung, Überwachung und Bewertung des eigenen  Lernprozesses. Diese Strategien werden auch metakognitive Strategien genannt.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97DC6"/>
    <w:multiLevelType w:val="hybridMultilevel"/>
    <w:tmpl w:val="BFFEEA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4632D0D"/>
    <w:multiLevelType w:val="hybridMultilevel"/>
    <w:tmpl w:val="1938B9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83417C1"/>
    <w:multiLevelType w:val="hybridMultilevel"/>
    <w:tmpl w:val="286AEC6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6F1D042D"/>
    <w:multiLevelType w:val="hybridMultilevel"/>
    <w:tmpl w:val="E02ED3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91B"/>
    <w:rsid w:val="0021391B"/>
    <w:rsid w:val="003B14FC"/>
    <w:rsid w:val="00443332"/>
    <w:rsid w:val="006E423D"/>
    <w:rsid w:val="00762287"/>
    <w:rsid w:val="007C7E9A"/>
    <w:rsid w:val="007F4602"/>
    <w:rsid w:val="00891803"/>
    <w:rsid w:val="00B74CD5"/>
    <w:rsid w:val="00CA22E3"/>
    <w:rsid w:val="00DD69B5"/>
    <w:rsid w:val="00FA7C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21391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21391B"/>
    <w:rPr>
      <w:color w:val="0000FF"/>
      <w:u w:val="single"/>
    </w:rPr>
  </w:style>
  <w:style w:type="character" w:styleId="Hervorhebung">
    <w:name w:val="Emphasis"/>
    <w:basedOn w:val="Absatz-Standardschriftart"/>
    <w:uiPriority w:val="20"/>
    <w:qFormat/>
    <w:rsid w:val="0021391B"/>
    <w:rPr>
      <w:i/>
      <w:iCs/>
    </w:rPr>
  </w:style>
  <w:style w:type="table" w:styleId="Tabellenraster">
    <w:name w:val="Table Grid"/>
    <w:basedOn w:val="NormaleTabelle"/>
    <w:uiPriority w:val="59"/>
    <w:rsid w:val="00B74C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74CD5"/>
    <w:pPr>
      <w:ind w:left="720"/>
      <w:contextualSpacing/>
    </w:pPr>
  </w:style>
  <w:style w:type="paragraph" w:styleId="Funotentext">
    <w:name w:val="footnote text"/>
    <w:basedOn w:val="Standard"/>
    <w:link w:val="FunotentextZchn"/>
    <w:uiPriority w:val="99"/>
    <w:semiHidden/>
    <w:unhideWhenUsed/>
    <w:rsid w:val="00B74CD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74CD5"/>
    <w:rPr>
      <w:sz w:val="20"/>
      <w:szCs w:val="20"/>
    </w:rPr>
  </w:style>
  <w:style w:type="character" w:styleId="Funotenzeichen">
    <w:name w:val="footnote reference"/>
    <w:basedOn w:val="Absatz-Standardschriftart"/>
    <w:uiPriority w:val="99"/>
    <w:semiHidden/>
    <w:unhideWhenUsed/>
    <w:rsid w:val="00B74CD5"/>
    <w:rPr>
      <w:vertAlign w:val="superscript"/>
    </w:rPr>
  </w:style>
  <w:style w:type="paragraph" w:styleId="Kopfzeile">
    <w:name w:val="header"/>
    <w:basedOn w:val="Standard"/>
    <w:link w:val="KopfzeileZchn"/>
    <w:uiPriority w:val="99"/>
    <w:unhideWhenUsed/>
    <w:rsid w:val="006E42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E423D"/>
  </w:style>
  <w:style w:type="paragraph" w:styleId="Fuzeile">
    <w:name w:val="footer"/>
    <w:basedOn w:val="Standard"/>
    <w:link w:val="FuzeileZchn"/>
    <w:uiPriority w:val="99"/>
    <w:unhideWhenUsed/>
    <w:rsid w:val="006E42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E42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21391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21391B"/>
    <w:rPr>
      <w:color w:val="0000FF"/>
      <w:u w:val="single"/>
    </w:rPr>
  </w:style>
  <w:style w:type="character" w:styleId="Hervorhebung">
    <w:name w:val="Emphasis"/>
    <w:basedOn w:val="Absatz-Standardschriftart"/>
    <w:uiPriority w:val="20"/>
    <w:qFormat/>
    <w:rsid w:val="0021391B"/>
    <w:rPr>
      <w:i/>
      <w:iCs/>
    </w:rPr>
  </w:style>
  <w:style w:type="table" w:styleId="Tabellenraster">
    <w:name w:val="Table Grid"/>
    <w:basedOn w:val="NormaleTabelle"/>
    <w:uiPriority w:val="59"/>
    <w:rsid w:val="00B74C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74CD5"/>
    <w:pPr>
      <w:ind w:left="720"/>
      <w:contextualSpacing/>
    </w:pPr>
  </w:style>
  <w:style w:type="paragraph" w:styleId="Funotentext">
    <w:name w:val="footnote text"/>
    <w:basedOn w:val="Standard"/>
    <w:link w:val="FunotentextZchn"/>
    <w:uiPriority w:val="99"/>
    <w:semiHidden/>
    <w:unhideWhenUsed/>
    <w:rsid w:val="00B74CD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74CD5"/>
    <w:rPr>
      <w:sz w:val="20"/>
      <w:szCs w:val="20"/>
    </w:rPr>
  </w:style>
  <w:style w:type="character" w:styleId="Funotenzeichen">
    <w:name w:val="footnote reference"/>
    <w:basedOn w:val="Absatz-Standardschriftart"/>
    <w:uiPriority w:val="99"/>
    <w:semiHidden/>
    <w:unhideWhenUsed/>
    <w:rsid w:val="00B74CD5"/>
    <w:rPr>
      <w:vertAlign w:val="superscript"/>
    </w:rPr>
  </w:style>
  <w:style w:type="paragraph" w:styleId="Kopfzeile">
    <w:name w:val="header"/>
    <w:basedOn w:val="Standard"/>
    <w:link w:val="KopfzeileZchn"/>
    <w:uiPriority w:val="99"/>
    <w:unhideWhenUsed/>
    <w:rsid w:val="006E42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E423D"/>
  </w:style>
  <w:style w:type="paragraph" w:styleId="Fuzeile">
    <w:name w:val="footer"/>
    <w:basedOn w:val="Standard"/>
    <w:link w:val="FuzeileZchn"/>
    <w:uiPriority w:val="99"/>
    <w:unhideWhenUsed/>
    <w:rsid w:val="006E42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E42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82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924</Words>
  <Characters>5824</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2020-11-23T10:55:00Z</dcterms:created>
  <dcterms:modified xsi:type="dcterms:W3CDTF">2020-11-23T10:55:00Z</dcterms:modified>
</cp:coreProperties>
</file>